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A71" w:rsidRDefault="004C0D96" w:rsidP="007E0EEE">
      <w:pPr>
        <w:spacing w:after="0"/>
        <w:rPr>
          <w:b/>
          <w:sz w:val="28"/>
          <w:szCs w:val="28"/>
        </w:rPr>
      </w:pPr>
      <w:r>
        <w:rPr>
          <w:b/>
          <w:sz w:val="28"/>
          <w:szCs w:val="28"/>
        </w:rPr>
        <w:t xml:space="preserve">Thornhill House Residents’ Association </w:t>
      </w:r>
      <w:r w:rsidR="00564094">
        <w:rPr>
          <w:b/>
          <w:sz w:val="28"/>
          <w:szCs w:val="28"/>
        </w:rPr>
        <w:t>meeting n</w:t>
      </w:r>
      <w:r w:rsidR="007A6A71">
        <w:rPr>
          <w:b/>
          <w:sz w:val="28"/>
          <w:szCs w:val="28"/>
        </w:rPr>
        <w:t>otes.</w:t>
      </w:r>
    </w:p>
    <w:p w:rsidR="00CD0550" w:rsidRDefault="00CD0550" w:rsidP="008A7F65">
      <w:pPr>
        <w:spacing w:after="0"/>
        <w:rPr>
          <w:b/>
          <w:sz w:val="28"/>
          <w:szCs w:val="28"/>
        </w:rPr>
      </w:pPr>
      <w:r w:rsidRPr="00CD0550">
        <w:rPr>
          <w:b/>
          <w:sz w:val="28"/>
          <w:szCs w:val="28"/>
        </w:rPr>
        <w:t xml:space="preserve">Meeting </w:t>
      </w:r>
      <w:r w:rsidR="00724F12" w:rsidRPr="00CD0550">
        <w:rPr>
          <w:b/>
          <w:sz w:val="28"/>
          <w:szCs w:val="28"/>
        </w:rPr>
        <w:t>date</w:t>
      </w:r>
      <w:r w:rsidR="004C0D96">
        <w:rPr>
          <w:b/>
          <w:sz w:val="28"/>
          <w:szCs w:val="28"/>
        </w:rPr>
        <w:t>/time</w:t>
      </w:r>
      <w:r w:rsidR="00724F12" w:rsidRPr="00CD0550">
        <w:rPr>
          <w:b/>
          <w:sz w:val="28"/>
          <w:szCs w:val="28"/>
        </w:rPr>
        <w:t>:</w:t>
      </w:r>
      <w:r w:rsidR="007E0EEE">
        <w:rPr>
          <w:b/>
          <w:sz w:val="28"/>
          <w:szCs w:val="28"/>
        </w:rPr>
        <w:t xml:space="preserve"> </w:t>
      </w:r>
      <w:r w:rsidR="00081DE3">
        <w:rPr>
          <w:b/>
          <w:sz w:val="28"/>
          <w:szCs w:val="28"/>
        </w:rPr>
        <w:t xml:space="preserve">Wednesday </w:t>
      </w:r>
      <w:r w:rsidR="00C43D41">
        <w:rPr>
          <w:b/>
          <w:sz w:val="28"/>
          <w:szCs w:val="28"/>
        </w:rPr>
        <w:t>21</w:t>
      </w:r>
      <w:r w:rsidR="00C43D41" w:rsidRPr="00C43D41">
        <w:rPr>
          <w:b/>
          <w:sz w:val="28"/>
          <w:szCs w:val="28"/>
          <w:vertAlign w:val="superscript"/>
        </w:rPr>
        <w:t>st</w:t>
      </w:r>
      <w:r w:rsidR="00C43D41">
        <w:rPr>
          <w:b/>
          <w:sz w:val="28"/>
          <w:szCs w:val="28"/>
        </w:rPr>
        <w:t xml:space="preserve"> May 2014, 7pm</w:t>
      </w:r>
    </w:p>
    <w:tbl>
      <w:tblPr>
        <w:tblStyle w:val="TableGrid"/>
        <w:tblW w:w="15735" w:type="dxa"/>
        <w:tblInd w:w="-459" w:type="dxa"/>
        <w:tblLook w:val="04A0"/>
      </w:tblPr>
      <w:tblGrid>
        <w:gridCol w:w="2199"/>
        <w:gridCol w:w="9533"/>
        <w:gridCol w:w="4003"/>
      </w:tblGrid>
      <w:tr w:rsidR="008A7F65" w:rsidRPr="00CD0550" w:rsidTr="008A7F65">
        <w:tc>
          <w:tcPr>
            <w:tcW w:w="2199" w:type="dxa"/>
          </w:tcPr>
          <w:p w:rsidR="008A7F65" w:rsidRPr="00CD0550" w:rsidRDefault="008A7F65">
            <w:pPr>
              <w:rPr>
                <w:b/>
                <w:sz w:val="28"/>
                <w:szCs w:val="28"/>
              </w:rPr>
            </w:pPr>
            <w:r w:rsidRPr="00CD0550">
              <w:rPr>
                <w:b/>
                <w:sz w:val="28"/>
                <w:szCs w:val="28"/>
              </w:rPr>
              <w:t>Item</w:t>
            </w:r>
          </w:p>
        </w:tc>
        <w:tc>
          <w:tcPr>
            <w:tcW w:w="9533" w:type="dxa"/>
          </w:tcPr>
          <w:p w:rsidR="008A7F65" w:rsidRPr="00CD0550" w:rsidRDefault="008A7F65">
            <w:pPr>
              <w:rPr>
                <w:b/>
                <w:sz w:val="28"/>
                <w:szCs w:val="28"/>
              </w:rPr>
            </w:pPr>
            <w:r w:rsidRPr="00CD0550">
              <w:rPr>
                <w:b/>
                <w:sz w:val="28"/>
                <w:szCs w:val="28"/>
              </w:rPr>
              <w:t>Key points</w:t>
            </w:r>
            <w:r>
              <w:rPr>
                <w:b/>
                <w:sz w:val="28"/>
                <w:szCs w:val="28"/>
              </w:rPr>
              <w:t xml:space="preserve"> discussed</w:t>
            </w:r>
          </w:p>
        </w:tc>
        <w:tc>
          <w:tcPr>
            <w:tcW w:w="4003" w:type="dxa"/>
          </w:tcPr>
          <w:p w:rsidR="008A7F65" w:rsidRPr="00CD0550" w:rsidRDefault="008A7F65">
            <w:pPr>
              <w:rPr>
                <w:b/>
                <w:sz w:val="28"/>
                <w:szCs w:val="28"/>
              </w:rPr>
            </w:pPr>
            <w:r w:rsidRPr="00CD0550">
              <w:rPr>
                <w:b/>
                <w:sz w:val="28"/>
                <w:szCs w:val="28"/>
              </w:rPr>
              <w:t>Action Required</w:t>
            </w:r>
            <w:r>
              <w:rPr>
                <w:b/>
                <w:sz w:val="28"/>
                <w:szCs w:val="28"/>
              </w:rPr>
              <w:t>/ By whom</w:t>
            </w:r>
          </w:p>
        </w:tc>
      </w:tr>
      <w:tr w:rsidR="007E0EEE" w:rsidTr="00C43D41">
        <w:trPr>
          <w:trHeight w:val="1417"/>
        </w:trPr>
        <w:tc>
          <w:tcPr>
            <w:tcW w:w="2199" w:type="dxa"/>
          </w:tcPr>
          <w:p w:rsidR="007E0EEE" w:rsidRDefault="00062E6A" w:rsidP="00696F82">
            <w:pPr>
              <w:pStyle w:val="ListParagraph"/>
              <w:numPr>
                <w:ilvl w:val="0"/>
                <w:numId w:val="16"/>
              </w:numPr>
              <w:ind w:left="284" w:hanging="284"/>
            </w:pPr>
            <w:r>
              <w:t>Previous minutes</w:t>
            </w:r>
          </w:p>
        </w:tc>
        <w:tc>
          <w:tcPr>
            <w:tcW w:w="9533" w:type="dxa"/>
          </w:tcPr>
          <w:p w:rsidR="007E0EEE" w:rsidRDefault="00062E6A" w:rsidP="00081DE3">
            <w:r>
              <w:t xml:space="preserve">Cleaning issues – we have a permanent new caretaker now (Julia).  </w:t>
            </w:r>
            <w:proofErr w:type="spellStart"/>
            <w:r>
              <w:t>Soem</w:t>
            </w:r>
            <w:proofErr w:type="spellEnd"/>
            <w:r>
              <w:t xml:space="preserve"> improvement but still little evidence of sweeping/mopping in 35-52.  Suggested that new caretaker is still catching up with backlog or may be having trouble getting hold of key fobs.</w:t>
            </w:r>
          </w:p>
          <w:p w:rsidR="00062E6A" w:rsidRDefault="00062E6A" w:rsidP="00081DE3"/>
          <w:p w:rsidR="00062E6A" w:rsidRDefault="00062E6A" w:rsidP="00081DE3">
            <w:r>
              <w:t>35-52 only has three wheelie bins for 18 households.  This is not enough</w:t>
            </w:r>
          </w:p>
        </w:tc>
        <w:tc>
          <w:tcPr>
            <w:tcW w:w="4003" w:type="dxa"/>
          </w:tcPr>
          <w:p w:rsidR="007E0EEE" w:rsidRDefault="00062E6A" w:rsidP="00030051">
            <w:r>
              <w:t>Denis Heath to speak to caretaker re. 35-52</w:t>
            </w:r>
          </w:p>
          <w:p w:rsidR="00062E6A" w:rsidRDefault="00062E6A" w:rsidP="00030051">
            <w:r>
              <w:t>Denis Heath to arrange for the bins to be checked and each block to have an appropriate number.</w:t>
            </w:r>
          </w:p>
        </w:tc>
      </w:tr>
      <w:tr w:rsidR="007E0EEE" w:rsidTr="008A7F65">
        <w:trPr>
          <w:trHeight w:val="541"/>
        </w:trPr>
        <w:tc>
          <w:tcPr>
            <w:tcW w:w="2199" w:type="dxa"/>
          </w:tcPr>
          <w:p w:rsidR="007E0EEE" w:rsidRDefault="00062E6A" w:rsidP="00081DE3">
            <w:pPr>
              <w:pStyle w:val="ListParagraph"/>
              <w:numPr>
                <w:ilvl w:val="0"/>
                <w:numId w:val="16"/>
              </w:numPr>
              <w:ind w:left="284" w:hanging="284"/>
            </w:pPr>
            <w:r>
              <w:t>Gardening</w:t>
            </w:r>
          </w:p>
        </w:tc>
        <w:tc>
          <w:tcPr>
            <w:tcW w:w="9533" w:type="dxa"/>
          </w:tcPr>
          <w:p w:rsidR="007E0EEE" w:rsidRDefault="00062E6A" w:rsidP="008A7F65">
            <w:r>
              <w:t xml:space="preserve">Picnic table to be purchased online if Camden Garden Centre can’t undercut.  </w:t>
            </w:r>
            <w:hyperlink r:id="rId5" w:history="1">
              <w:r w:rsidRPr="009457F4">
                <w:rPr>
                  <w:rStyle w:val="Hyperlink"/>
                </w:rPr>
                <w:t>www.greenfingers.com</w:t>
              </w:r>
            </w:hyperlink>
            <w:r>
              <w:t xml:space="preserve"> (£</w:t>
            </w:r>
            <w:r w:rsidR="00DA5D41">
              <w:t>380).</w:t>
            </w:r>
          </w:p>
          <w:p w:rsidR="00DA5D41" w:rsidRDefault="00DA5D41" w:rsidP="008A7F65">
            <w:r>
              <w:t>Discussion about use of central area in garden.  Residents’ Allotment?  Grass? Paved?  Paved with beds blocked off.  General consensus that paved with raised beds preferable.</w:t>
            </w:r>
          </w:p>
          <w:p w:rsidR="00DA5D41" w:rsidRDefault="00DA5D41" w:rsidP="008A7F65">
            <w:r>
              <w:t xml:space="preserve">Buddleia issue – </w:t>
            </w:r>
            <w:r w:rsidR="000E168F">
              <w:t xml:space="preserve">reported by Sharon but </w:t>
            </w:r>
            <w:r>
              <w:t>no action yet</w:t>
            </w:r>
          </w:p>
          <w:p w:rsidR="000E168F" w:rsidRDefault="000E168F" w:rsidP="008A7F65">
            <w:r>
              <w:t>Scaffolding at rear of building since 25/3.  Residents not informed of duration or purpose of scaffolding.  Jacqueline has reported but not heard back.  Denis Heath not aware of purpose.</w:t>
            </w:r>
          </w:p>
        </w:tc>
        <w:tc>
          <w:tcPr>
            <w:tcW w:w="4003" w:type="dxa"/>
          </w:tcPr>
          <w:p w:rsidR="007E0EEE" w:rsidRDefault="00DA5D41" w:rsidP="00030051">
            <w:r>
              <w:t xml:space="preserve">James to </w:t>
            </w:r>
            <w:r w:rsidR="000E168F">
              <w:t>arrange purchase of picnic table.</w:t>
            </w:r>
          </w:p>
          <w:p w:rsidR="000E168F" w:rsidRDefault="000E168F" w:rsidP="00030051">
            <w:r>
              <w:t>Denis Heath to arrange another visit to look into buddleia issue.</w:t>
            </w:r>
          </w:p>
          <w:p w:rsidR="000E168F" w:rsidRDefault="000E168F" w:rsidP="00030051">
            <w:r>
              <w:t>Jacqueline reporting scaffolding issue again on 25/5.  Denis Heath to investigate.</w:t>
            </w:r>
          </w:p>
        </w:tc>
      </w:tr>
      <w:tr w:rsidR="007E0EEE" w:rsidTr="008A7F65">
        <w:trPr>
          <w:trHeight w:val="852"/>
        </w:trPr>
        <w:tc>
          <w:tcPr>
            <w:tcW w:w="2199" w:type="dxa"/>
          </w:tcPr>
          <w:p w:rsidR="007E0EEE" w:rsidRDefault="000E168F" w:rsidP="00081DE3">
            <w:pPr>
              <w:pStyle w:val="ListParagraph"/>
              <w:numPr>
                <w:ilvl w:val="0"/>
                <w:numId w:val="16"/>
              </w:numPr>
              <w:ind w:left="284" w:hanging="284"/>
            </w:pPr>
            <w:r>
              <w:t>Antisocial behaviour</w:t>
            </w:r>
          </w:p>
        </w:tc>
        <w:tc>
          <w:tcPr>
            <w:tcW w:w="9533" w:type="dxa"/>
          </w:tcPr>
          <w:p w:rsidR="007E0EEE" w:rsidRDefault="000E168F" w:rsidP="00700288">
            <w:r>
              <w:t xml:space="preserve">People have been getting in through the main gate.  Reports of criminal behaviour and disturbance to residents in bin rooms.  Discussion of whether possible to change gate to fob access (too expensive).  </w:t>
            </w:r>
            <w:r w:rsidR="00700288">
              <w:t>Easier to use existing lock on the gate and distribute keys to who needs them.  Suggestion</w:t>
            </w:r>
            <w:r>
              <w:t xml:space="preserve"> to put up </w:t>
            </w:r>
            <w:r w:rsidR="00700288">
              <w:t>signs to residents only to open the front doors to people they know.</w:t>
            </w:r>
          </w:p>
        </w:tc>
        <w:tc>
          <w:tcPr>
            <w:tcW w:w="4003" w:type="dxa"/>
          </w:tcPr>
          <w:p w:rsidR="007E0EEE" w:rsidRDefault="00700288" w:rsidP="00030051">
            <w:r>
              <w:t>Penny to circulate letter to residents about security.</w:t>
            </w:r>
          </w:p>
          <w:p w:rsidR="00700288" w:rsidRDefault="00700288" w:rsidP="00030051">
            <w:r>
              <w:t>Penny to obtain extra key to give to Denis Heath.</w:t>
            </w:r>
          </w:p>
        </w:tc>
      </w:tr>
      <w:tr w:rsidR="007E0EEE" w:rsidTr="008A7F65">
        <w:trPr>
          <w:trHeight w:val="1092"/>
        </w:trPr>
        <w:tc>
          <w:tcPr>
            <w:tcW w:w="2199" w:type="dxa"/>
          </w:tcPr>
          <w:p w:rsidR="007E0EEE" w:rsidRDefault="00700288" w:rsidP="00081DE3">
            <w:pPr>
              <w:pStyle w:val="ListParagraph"/>
              <w:numPr>
                <w:ilvl w:val="0"/>
                <w:numId w:val="16"/>
              </w:numPr>
              <w:ind w:left="284" w:hanging="284"/>
            </w:pPr>
            <w:r>
              <w:t>Storage</w:t>
            </w:r>
          </w:p>
        </w:tc>
        <w:tc>
          <w:tcPr>
            <w:tcW w:w="9533" w:type="dxa"/>
          </w:tcPr>
          <w:p w:rsidR="007E0EEE" w:rsidRDefault="00700288" w:rsidP="00081DE3">
            <w:r>
              <w:t xml:space="preserve">DH has done all he can and the process is now being run by customer services.  Customer services to write to people with storage inviting them to come in to sign a rental agreement.  Suggestion that if token rent is paid it will reduce the chance of people giving their storage space to others unfairly.  </w:t>
            </w:r>
          </w:p>
          <w:p w:rsidR="00700288" w:rsidRDefault="00700288" w:rsidP="00081DE3">
            <w:r>
              <w:t>Currently 10 residents are using storage and 3 units are empty.</w:t>
            </w:r>
          </w:p>
          <w:p w:rsidR="00700288" w:rsidRDefault="00700288" w:rsidP="00081DE3">
            <w:r>
              <w:t>Questions/comments raised:</w:t>
            </w:r>
          </w:p>
          <w:p w:rsidR="00700288" w:rsidRDefault="00700288" w:rsidP="00081DE3">
            <w:r>
              <w:t>Will token rent be unfair on residents on low incomes?</w:t>
            </w:r>
          </w:p>
          <w:p w:rsidR="00700288" w:rsidRDefault="00700288" w:rsidP="00081DE3">
            <w:r>
              <w:t>How can residents apply for the remaining units?</w:t>
            </w:r>
          </w:p>
          <w:p w:rsidR="00700288" w:rsidRDefault="00700288" w:rsidP="00081DE3">
            <w:r>
              <w:t>Why do some residents have storage outside of their block?</w:t>
            </w:r>
          </w:p>
          <w:p w:rsidR="00700288" w:rsidRDefault="00700288" w:rsidP="00081DE3">
            <w:r>
              <w:t>Can more storage be built next to substation in yard?  Is a grant available for this?</w:t>
            </w:r>
          </w:p>
        </w:tc>
        <w:tc>
          <w:tcPr>
            <w:tcW w:w="4003" w:type="dxa"/>
          </w:tcPr>
          <w:p w:rsidR="007E0EEE" w:rsidRDefault="00700288" w:rsidP="00030051">
            <w:r>
              <w:t>Denis Heath to put forward rent proposal to customer services</w:t>
            </w:r>
          </w:p>
        </w:tc>
      </w:tr>
      <w:tr w:rsidR="007E0EEE" w:rsidTr="008A7F65">
        <w:trPr>
          <w:trHeight w:val="279"/>
        </w:trPr>
        <w:tc>
          <w:tcPr>
            <w:tcW w:w="2199" w:type="dxa"/>
          </w:tcPr>
          <w:p w:rsidR="007E0EEE" w:rsidRDefault="00700288" w:rsidP="00081DE3">
            <w:pPr>
              <w:pStyle w:val="ListParagraph"/>
              <w:numPr>
                <w:ilvl w:val="0"/>
                <w:numId w:val="16"/>
              </w:numPr>
              <w:ind w:left="284" w:hanging="284"/>
            </w:pPr>
            <w:r>
              <w:t>Community room</w:t>
            </w:r>
          </w:p>
        </w:tc>
        <w:tc>
          <w:tcPr>
            <w:tcW w:w="9533" w:type="dxa"/>
          </w:tcPr>
          <w:p w:rsidR="007E0EEE" w:rsidRDefault="00700288" w:rsidP="00081DE3">
            <w:r>
              <w:t>Historical agreement with Brian Potter and the ILA to use CR.  Agreed to allow this to continue.</w:t>
            </w:r>
          </w:p>
          <w:p w:rsidR="00700288" w:rsidRDefault="00700288" w:rsidP="00081DE3">
            <w:r>
              <w:t>Previous jumble sale money in safekeeping.</w:t>
            </w:r>
          </w:p>
          <w:p w:rsidR="00700288" w:rsidRDefault="00700288" w:rsidP="00081DE3">
            <w:r>
              <w:t>Bric-a-brac building up</w:t>
            </w:r>
            <w:r w:rsidR="00C43D41">
              <w:t>.  Agreed this should be disposed of after next jumble sale.  Suggestion of donating to Bright Sparks.</w:t>
            </w:r>
          </w:p>
        </w:tc>
        <w:tc>
          <w:tcPr>
            <w:tcW w:w="4003" w:type="dxa"/>
          </w:tcPr>
          <w:p w:rsidR="007E0EEE" w:rsidRDefault="007E0EEE" w:rsidP="00030051"/>
        </w:tc>
      </w:tr>
      <w:tr w:rsidR="007E0EEE" w:rsidTr="008A7F65">
        <w:trPr>
          <w:trHeight w:val="566"/>
        </w:trPr>
        <w:tc>
          <w:tcPr>
            <w:tcW w:w="2199" w:type="dxa"/>
          </w:tcPr>
          <w:p w:rsidR="007E0EEE" w:rsidRDefault="00C43D41" w:rsidP="00081DE3">
            <w:pPr>
              <w:pStyle w:val="ListParagraph"/>
              <w:numPr>
                <w:ilvl w:val="0"/>
                <w:numId w:val="16"/>
              </w:numPr>
              <w:ind w:left="284" w:hanging="284"/>
            </w:pPr>
            <w:r>
              <w:t>AOB</w:t>
            </w:r>
          </w:p>
        </w:tc>
        <w:tc>
          <w:tcPr>
            <w:tcW w:w="9533" w:type="dxa"/>
          </w:tcPr>
          <w:p w:rsidR="007E0EEE" w:rsidRDefault="00C43D41" w:rsidP="00081DE3">
            <w:r>
              <w:t>Report from Treasurer - £1364.94 balance in account</w:t>
            </w:r>
          </w:p>
          <w:p w:rsidR="00C43D41" w:rsidRDefault="00C43D41" w:rsidP="00081DE3">
            <w:r>
              <w:t>Query about bike storage from resident – wants to know how to pay</w:t>
            </w:r>
          </w:p>
        </w:tc>
        <w:tc>
          <w:tcPr>
            <w:tcW w:w="4003" w:type="dxa"/>
          </w:tcPr>
          <w:p w:rsidR="007E0EEE" w:rsidRDefault="00C43D41" w:rsidP="00030051">
            <w:r>
              <w:t>Penny/Ray to continue to arrange for Penny to be put on bank account</w:t>
            </w:r>
          </w:p>
          <w:p w:rsidR="00C43D41" w:rsidRDefault="00C43D41" w:rsidP="00030051">
            <w:r>
              <w:t xml:space="preserve">Claudia to give PayPal details to resident </w:t>
            </w:r>
          </w:p>
        </w:tc>
      </w:tr>
      <w:tr w:rsidR="007E0EEE" w:rsidTr="00C43D41">
        <w:trPr>
          <w:trHeight w:val="849"/>
        </w:trPr>
        <w:tc>
          <w:tcPr>
            <w:tcW w:w="2199" w:type="dxa"/>
          </w:tcPr>
          <w:p w:rsidR="007E0EEE" w:rsidRDefault="00C43D41" w:rsidP="00081DE3">
            <w:pPr>
              <w:pStyle w:val="ListParagraph"/>
              <w:numPr>
                <w:ilvl w:val="0"/>
                <w:numId w:val="16"/>
              </w:numPr>
              <w:ind w:left="284" w:hanging="284"/>
            </w:pPr>
            <w:r>
              <w:t>Next meeting</w:t>
            </w:r>
          </w:p>
        </w:tc>
        <w:tc>
          <w:tcPr>
            <w:tcW w:w="9533" w:type="dxa"/>
          </w:tcPr>
          <w:p w:rsidR="007E0EEE" w:rsidRDefault="00C43D41" w:rsidP="00696F82">
            <w:r>
              <w:t>18/6/14, 7pm.  Agenda: Scaffolding, garden design, ASB update, gate key, bank account</w:t>
            </w:r>
          </w:p>
        </w:tc>
        <w:tc>
          <w:tcPr>
            <w:tcW w:w="4003" w:type="dxa"/>
          </w:tcPr>
          <w:p w:rsidR="007E0EEE" w:rsidRDefault="007E0EEE" w:rsidP="00030051"/>
        </w:tc>
      </w:tr>
    </w:tbl>
    <w:p w:rsidR="00C43D41" w:rsidRDefault="00C43D41" w:rsidP="00C43D41"/>
    <w:p w:rsidR="00C43D41" w:rsidRDefault="00C43D41">
      <w:pPr>
        <w:sectPr w:rsidR="00C43D41" w:rsidSect="00C43D41">
          <w:pgSz w:w="16838" w:h="11906" w:orient="landscape"/>
          <w:pgMar w:top="426" w:right="1134" w:bottom="284" w:left="1134" w:header="709" w:footer="709" w:gutter="0"/>
          <w:cols w:space="708"/>
          <w:docGrid w:linePitch="360"/>
        </w:sectPr>
      </w:pPr>
    </w:p>
    <w:p w:rsidR="00C43D41" w:rsidRDefault="00C43D41">
      <w:r>
        <w:rPr>
          <w:noProof/>
          <w:lang w:val="en-US"/>
        </w:rPr>
        <w:lastRenderedPageBreak/>
        <w:drawing>
          <wp:anchor distT="0" distB="0" distL="114300" distR="114300" simplePos="0" relativeHeight="251658240" behindDoc="0" locked="0" layoutInCell="1" allowOverlap="1">
            <wp:simplePos x="0" y="0"/>
            <wp:positionH relativeFrom="margin">
              <wp:posOffset>4749165</wp:posOffset>
            </wp:positionH>
            <wp:positionV relativeFrom="margin">
              <wp:posOffset>-220980</wp:posOffset>
            </wp:positionV>
            <wp:extent cx="2125980" cy="1530985"/>
            <wp:effectExtent l="1905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61696" t="32775" r="13668" b="38756"/>
                    <a:stretch>
                      <a:fillRect/>
                    </a:stretch>
                  </pic:blipFill>
                  <pic:spPr bwMode="auto">
                    <a:xfrm>
                      <a:off x="0" y="0"/>
                      <a:ext cx="2125980" cy="1530985"/>
                    </a:xfrm>
                    <a:prstGeom prst="rect">
                      <a:avLst/>
                    </a:prstGeom>
                    <a:noFill/>
                    <a:ln w="9525">
                      <a:noFill/>
                      <a:miter lim="800000"/>
                      <a:headEnd/>
                      <a:tailEnd/>
                    </a:ln>
                  </pic:spPr>
                </pic:pic>
              </a:graphicData>
            </a:graphic>
          </wp:anchor>
        </w:drawing>
      </w:r>
    </w:p>
    <w:p w:rsidR="00C43D41" w:rsidRDefault="00C43D41" w:rsidP="00C43D41">
      <w:pPr>
        <w:spacing w:after="0" w:line="327" w:lineRule="atLeast"/>
        <w:rPr>
          <w:rFonts w:ascii="Arial" w:eastAsia="Times New Roman" w:hAnsi="Arial" w:cs="Arial"/>
          <w:color w:val="2A2A2A"/>
          <w:sz w:val="72"/>
          <w:szCs w:val="72"/>
          <w:lang w:val="en-US"/>
        </w:rPr>
      </w:pPr>
      <w:proofErr w:type="spellStart"/>
      <w:r>
        <w:rPr>
          <w:rFonts w:ascii="Arial" w:eastAsia="Times New Roman" w:hAnsi="Arial" w:cs="Arial"/>
          <w:color w:val="2A2A2A"/>
          <w:sz w:val="72"/>
          <w:szCs w:val="72"/>
          <w:lang w:val="en-US"/>
        </w:rPr>
        <w:t>Thornhill</w:t>
      </w:r>
      <w:proofErr w:type="spellEnd"/>
      <w:r>
        <w:rPr>
          <w:rFonts w:ascii="Arial" w:eastAsia="Times New Roman" w:hAnsi="Arial" w:cs="Arial"/>
          <w:color w:val="2A2A2A"/>
          <w:sz w:val="72"/>
          <w:szCs w:val="72"/>
          <w:lang w:val="en-US"/>
        </w:rPr>
        <w:t xml:space="preserve"> Houses </w:t>
      </w:r>
    </w:p>
    <w:p w:rsidR="00C43D41" w:rsidRDefault="00C43D41" w:rsidP="00C43D41">
      <w:pPr>
        <w:spacing w:after="0" w:line="327" w:lineRule="atLeast"/>
        <w:rPr>
          <w:rFonts w:ascii="Arial" w:eastAsia="Times New Roman" w:hAnsi="Arial" w:cs="Arial"/>
          <w:color w:val="2A2A2A"/>
          <w:sz w:val="72"/>
          <w:szCs w:val="72"/>
          <w:lang w:val="en-US"/>
        </w:rPr>
      </w:pPr>
      <w:r>
        <w:rPr>
          <w:rFonts w:ascii="Arial" w:eastAsia="Times New Roman" w:hAnsi="Arial" w:cs="Arial"/>
          <w:color w:val="2A2A2A"/>
          <w:sz w:val="72"/>
          <w:szCs w:val="72"/>
          <w:lang w:val="en-US"/>
        </w:rPr>
        <w:t>Residents’ Association</w:t>
      </w:r>
    </w:p>
    <w:p w:rsidR="00C43D41" w:rsidRDefault="00C43D41" w:rsidP="00C43D41">
      <w:pPr>
        <w:spacing w:after="0" w:line="327" w:lineRule="atLeast"/>
        <w:rPr>
          <w:rFonts w:ascii="Arial" w:eastAsia="Times New Roman" w:hAnsi="Arial" w:cs="Arial"/>
          <w:color w:val="2A2A2A"/>
          <w:sz w:val="72"/>
          <w:szCs w:val="72"/>
          <w:lang w:val="en-US"/>
        </w:rPr>
      </w:pPr>
    </w:p>
    <w:p w:rsidR="00C43D41" w:rsidRDefault="00C43D41" w:rsidP="00C43D41">
      <w:pPr>
        <w:spacing w:after="0" w:line="327" w:lineRule="atLeast"/>
        <w:rPr>
          <w:rFonts w:ascii="Arial" w:eastAsia="Times New Roman" w:hAnsi="Arial" w:cs="Arial"/>
          <w:color w:val="2A2A2A"/>
          <w:sz w:val="36"/>
          <w:szCs w:val="36"/>
          <w:lang w:val="en-US"/>
        </w:rPr>
      </w:pPr>
      <w:r w:rsidRPr="00C43D41">
        <w:rPr>
          <w:rFonts w:ascii="Arial" w:eastAsia="Times New Roman" w:hAnsi="Arial" w:cs="Arial"/>
          <w:color w:val="2A2A2A"/>
          <w:sz w:val="72"/>
          <w:szCs w:val="72"/>
          <w:lang w:val="en-US"/>
        </w:rPr>
        <w:t xml:space="preserve">Next meeting 7pm on </w:t>
      </w:r>
      <w:r>
        <w:rPr>
          <w:rFonts w:ascii="Arial" w:eastAsia="Times New Roman" w:hAnsi="Arial" w:cs="Arial"/>
          <w:color w:val="2A2A2A"/>
          <w:sz w:val="72"/>
          <w:szCs w:val="72"/>
          <w:lang w:val="en-US"/>
        </w:rPr>
        <w:t>18</w:t>
      </w:r>
      <w:r w:rsidRPr="00C43D41">
        <w:rPr>
          <w:rFonts w:ascii="Arial" w:eastAsia="Times New Roman" w:hAnsi="Arial" w:cs="Arial"/>
          <w:color w:val="2A2A2A"/>
          <w:sz w:val="72"/>
          <w:szCs w:val="72"/>
          <w:vertAlign w:val="superscript"/>
          <w:lang w:val="en-US"/>
        </w:rPr>
        <w:t>th</w:t>
      </w:r>
      <w:r>
        <w:rPr>
          <w:rFonts w:ascii="Arial" w:eastAsia="Times New Roman" w:hAnsi="Arial" w:cs="Arial"/>
          <w:color w:val="2A2A2A"/>
          <w:sz w:val="72"/>
          <w:szCs w:val="72"/>
          <w:lang w:val="en-US"/>
        </w:rPr>
        <w:t xml:space="preserve"> June</w:t>
      </w:r>
      <w:r w:rsidRPr="00C43D41">
        <w:rPr>
          <w:rFonts w:ascii="Arial" w:eastAsia="Times New Roman" w:hAnsi="Arial" w:cs="Arial"/>
          <w:color w:val="2A2A2A"/>
          <w:sz w:val="72"/>
          <w:szCs w:val="72"/>
          <w:lang w:val="en-US"/>
        </w:rPr>
        <w:br/>
      </w:r>
      <w:r w:rsidRPr="00C43D41">
        <w:rPr>
          <w:rFonts w:ascii="Arial" w:eastAsia="Times New Roman" w:hAnsi="Arial" w:cs="Arial"/>
          <w:color w:val="2A2A2A"/>
          <w:lang w:val="en-US"/>
        </w:rPr>
        <w:br/>
      </w:r>
    </w:p>
    <w:p w:rsidR="00C43D41" w:rsidRDefault="00C43D41" w:rsidP="00C43D41">
      <w:pPr>
        <w:spacing w:after="0" w:line="327" w:lineRule="atLeast"/>
        <w:rPr>
          <w:rFonts w:ascii="Arial" w:eastAsia="Times New Roman" w:hAnsi="Arial" w:cs="Arial"/>
          <w:color w:val="2A2A2A"/>
          <w:lang w:val="en-US"/>
        </w:rPr>
      </w:pPr>
      <w:r w:rsidRPr="00C43D41">
        <w:rPr>
          <w:rFonts w:ascii="Arial" w:eastAsia="Times New Roman" w:hAnsi="Arial" w:cs="Arial"/>
          <w:color w:val="2A2A2A"/>
          <w:sz w:val="36"/>
          <w:szCs w:val="36"/>
          <w:lang w:val="en-US"/>
        </w:rPr>
        <w:t>Agenda:</w:t>
      </w:r>
      <w:r w:rsidRPr="00C43D41">
        <w:rPr>
          <w:rFonts w:ascii="Arial" w:eastAsia="Times New Roman" w:hAnsi="Arial" w:cs="Arial"/>
          <w:color w:val="2A2A2A"/>
          <w:lang w:val="en-US"/>
        </w:rPr>
        <w:br/>
      </w:r>
    </w:p>
    <w:p w:rsidR="00C43D41" w:rsidRPr="00C43D41" w:rsidRDefault="00C43D41" w:rsidP="00C43D41">
      <w:pPr>
        <w:spacing w:after="0" w:line="327" w:lineRule="atLeast"/>
        <w:rPr>
          <w:rFonts w:ascii="Arial" w:eastAsia="Times New Roman" w:hAnsi="Arial" w:cs="Arial"/>
          <w:color w:val="2A2A2A"/>
          <w:lang w:val="en-US"/>
        </w:rPr>
      </w:pPr>
    </w:p>
    <w:p w:rsidR="00C43D41" w:rsidRPr="00C43D41" w:rsidRDefault="00C43D41" w:rsidP="00C43D41">
      <w:pPr>
        <w:numPr>
          <w:ilvl w:val="0"/>
          <w:numId w:val="18"/>
        </w:numPr>
        <w:spacing w:before="100" w:beforeAutospacing="1" w:after="100" w:afterAutospacing="1" w:line="327" w:lineRule="atLeast"/>
        <w:rPr>
          <w:rFonts w:ascii="Arial" w:eastAsia="Times New Roman" w:hAnsi="Arial" w:cs="Arial"/>
          <w:color w:val="2A2A2A"/>
          <w:lang w:val="en-US"/>
        </w:rPr>
      </w:pPr>
      <w:r>
        <w:rPr>
          <w:rFonts w:ascii="Arial" w:eastAsia="Times New Roman" w:hAnsi="Arial" w:cs="Arial"/>
          <w:color w:val="2A2A2A"/>
          <w:sz w:val="48"/>
          <w:szCs w:val="48"/>
          <w:lang w:val="en-US"/>
        </w:rPr>
        <w:t>Scaffolding</w:t>
      </w:r>
    </w:p>
    <w:p w:rsidR="00C43D41" w:rsidRPr="00C43D41" w:rsidRDefault="00C43D41" w:rsidP="00C43D41">
      <w:pPr>
        <w:numPr>
          <w:ilvl w:val="0"/>
          <w:numId w:val="18"/>
        </w:numPr>
        <w:spacing w:before="100" w:beforeAutospacing="1" w:after="100" w:afterAutospacing="1" w:line="327" w:lineRule="atLeast"/>
        <w:rPr>
          <w:rFonts w:ascii="Arial" w:eastAsia="Times New Roman" w:hAnsi="Arial" w:cs="Arial"/>
          <w:color w:val="2A2A2A"/>
          <w:lang w:val="en-US"/>
        </w:rPr>
      </w:pPr>
      <w:r>
        <w:rPr>
          <w:rFonts w:ascii="Arial" w:eastAsia="Times New Roman" w:hAnsi="Arial" w:cs="Arial"/>
          <w:color w:val="2A2A2A"/>
          <w:sz w:val="48"/>
          <w:szCs w:val="48"/>
          <w:lang w:val="en-US"/>
        </w:rPr>
        <w:t>Garden Design</w:t>
      </w:r>
    </w:p>
    <w:p w:rsidR="00C43D41" w:rsidRPr="00C43D41" w:rsidRDefault="00C43D41" w:rsidP="00C43D41">
      <w:pPr>
        <w:numPr>
          <w:ilvl w:val="0"/>
          <w:numId w:val="18"/>
        </w:numPr>
        <w:spacing w:before="100" w:beforeAutospacing="1" w:after="100" w:afterAutospacing="1" w:line="327" w:lineRule="atLeast"/>
        <w:rPr>
          <w:rFonts w:ascii="Arial" w:eastAsia="Times New Roman" w:hAnsi="Arial" w:cs="Arial"/>
          <w:color w:val="2A2A2A"/>
          <w:lang w:val="en-US"/>
        </w:rPr>
      </w:pPr>
      <w:r>
        <w:rPr>
          <w:rFonts w:ascii="Arial" w:eastAsia="Times New Roman" w:hAnsi="Arial" w:cs="Arial"/>
          <w:color w:val="2A2A2A"/>
          <w:sz w:val="48"/>
          <w:szCs w:val="48"/>
          <w:lang w:val="en-US"/>
        </w:rPr>
        <w:t xml:space="preserve">Antisocial </w:t>
      </w:r>
      <w:proofErr w:type="spellStart"/>
      <w:r>
        <w:rPr>
          <w:rFonts w:ascii="Arial" w:eastAsia="Times New Roman" w:hAnsi="Arial" w:cs="Arial"/>
          <w:color w:val="2A2A2A"/>
          <w:sz w:val="48"/>
          <w:szCs w:val="48"/>
          <w:lang w:val="en-US"/>
        </w:rPr>
        <w:t>Behaviour</w:t>
      </w:r>
      <w:proofErr w:type="spellEnd"/>
    </w:p>
    <w:p w:rsidR="00C43D41" w:rsidRPr="00C43D41" w:rsidRDefault="00C43D41" w:rsidP="00C43D41">
      <w:pPr>
        <w:numPr>
          <w:ilvl w:val="0"/>
          <w:numId w:val="18"/>
        </w:numPr>
        <w:spacing w:before="100" w:beforeAutospacing="1" w:after="100" w:afterAutospacing="1" w:line="327" w:lineRule="atLeast"/>
        <w:rPr>
          <w:rFonts w:ascii="Arial" w:eastAsia="Times New Roman" w:hAnsi="Arial" w:cs="Arial"/>
          <w:color w:val="2A2A2A"/>
          <w:lang w:val="en-US"/>
        </w:rPr>
      </w:pPr>
      <w:r>
        <w:rPr>
          <w:rFonts w:ascii="Arial" w:eastAsia="Times New Roman" w:hAnsi="Arial" w:cs="Arial"/>
          <w:color w:val="2A2A2A"/>
          <w:sz w:val="48"/>
          <w:szCs w:val="48"/>
          <w:lang w:val="en-US"/>
        </w:rPr>
        <w:t>Gate access</w:t>
      </w:r>
    </w:p>
    <w:p w:rsidR="00C43D41" w:rsidRPr="00C43D41" w:rsidRDefault="00C43D41" w:rsidP="00C43D41">
      <w:pPr>
        <w:numPr>
          <w:ilvl w:val="0"/>
          <w:numId w:val="18"/>
        </w:numPr>
        <w:spacing w:before="100" w:beforeAutospacing="1" w:after="100" w:afterAutospacing="1" w:line="327" w:lineRule="atLeast"/>
        <w:rPr>
          <w:rFonts w:ascii="Arial" w:eastAsia="Times New Roman" w:hAnsi="Arial" w:cs="Arial"/>
          <w:color w:val="2A2A2A"/>
          <w:lang w:val="en-US"/>
        </w:rPr>
      </w:pPr>
      <w:r>
        <w:rPr>
          <w:rFonts w:ascii="Arial" w:eastAsia="Times New Roman" w:hAnsi="Arial" w:cs="Arial"/>
          <w:color w:val="2A2A2A"/>
          <w:sz w:val="48"/>
          <w:szCs w:val="48"/>
          <w:lang w:val="en-US"/>
        </w:rPr>
        <w:t>Bank account</w:t>
      </w:r>
    </w:p>
    <w:p w:rsidR="00CD0550" w:rsidRDefault="00C43D41" w:rsidP="00C43D41">
      <w:r w:rsidRPr="00C43D41">
        <w:rPr>
          <w:rFonts w:ascii="Arial" w:eastAsia="Times New Roman" w:hAnsi="Arial" w:cs="Arial"/>
          <w:color w:val="797979"/>
          <w:lang w:val="en-US"/>
        </w:rPr>
        <w:br/>
      </w:r>
      <w:r w:rsidRPr="00C43D41">
        <w:rPr>
          <w:rFonts w:ascii="Arial" w:eastAsia="Times New Roman" w:hAnsi="Arial" w:cs="Arial"/>
          <w:color w:val="2A2A2A"/>
          <w:lang w:val="en-US"/>
        </w:rPr>
        <w:br/>
      </w:r>
      <w:r w:rsidRPr="00C43D41">
        <w:rPr>
          <w:rFonts w:ascii="Arial" w:eastAsia="Times New Roman" w:hAnsi="Arial" w:cs="Arial"/>
          <w:i/>
          <w:iCs/>
          <w:color w:val="2A2A2A"/>
          <w:sz w:val="36"/>
          <w:lang w:val="en-US"/>
        </w:rPr>
        <w:t>Please put AOBs in the red box outside the community room    </w:t>
      </w:r>
    </w:p>
    <w:sectPr w:rsidR="00CD0550" w:rsidSect="00C43D41">
      <w:pgSz w:w="11906" w:h="16838"/>
      <w:pgMar w:top="1134" w:right="284" w:bottom="1134" w:left="42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976B2"/>
    <w:multiLevelType w:val="hybridMultilevel"/>
    <w:tmpl w:val="A294705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90A7E5F"/>
    <w:multiLevelType w:val="hybridMultilevel"/>
    <w:tmpl w:val="C908B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0A4E7E"/>
    <w:multiLevelType w:val="multilevel"/>
    <w:tmpl w:val="0414D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4390567"/>
    <w:multiLevelType w:val="hybridMultilevel"/>
    <w:tmpl w:val="F0823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AA1320"/>
    <w:multiLevelType w:val="hybridMultilevel"/>
    <w:tmpl w:val="D706B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6F6A54"/>
    <w:multiLevelType w:val="hybridMultilevel"/>
    <w:tmpl w:val="67F219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656590"/>
    <w:multiLevelType w:val="multilevel"/>
    <w:tmpl w:val="21E83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F63C76"/>
    <w:multiLevelType w:val="hybridMultilevel"/>
    <w:tmpl w:val="88D253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5269A8"/>
    <w:multiLevelType w:val="hybridMultilevel"/>
    <w:tmpl w:val="36A0F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0305E5"/>
    <w:multiLevelType w:val="hybridMultilevel"/>
    <w:tmpl w:val="77CEA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CF530D9"/>
    <w:multiLevelType w:val="hybridMultilevel"/>
    <w:tmpl w:val="B7747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7678EA"/>
    <w:multiLevelType w:val="hybridMultilevel"/>
    <w:tmpl w:val="559CB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3D1468"/>
    <w:multiLevelType w:val="hybridMultilevel"/>
    <w:tmpl w:val="12DAB1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5E227CC0"/>
    <w:multiLevelType w:val="hybridMultilevel"/>
    <w:tmpl w:val="43DEF3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5FB32109"/>
    <w:multiLevelType w:val="hybridMultilevel"/>
    <w:tmpl w:val="3E6C1B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39A4639"/>
    <w:multiLevelType w:val="hybridMultilevel"/>
    <w:tmpl w:val="7F3A4B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DD0147E"/>
    <w:multiLevelType w:val="hybridMultilevel"/>
    <w:tmpl w:val="559CB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7D2A36"/>
    <w:multiLevelType w:val="hybridMultilevel"/>
    <w:tmpl w:val="EDEAA8BC"/>
    <w:lvl w:ilvl="0" w:tplc="3A8EB4A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7"/>
  </w:num>
  <w:num w:numId="4">
    <w:abstractNumId w:val="4"/>
  </w:num>
  <w:num w:numId="5">
    <w:abstractNumId w:val="10"/>
  </w:num>
  <w:num w:numId="6">
    <w:abstractNumId w:val="1"/>
  </w:num>
  <w:num w:numId="7">
    <w:abstractNumId w:val="13"/>
  </w:num>
  <w:num w:numId="8">
    <w:abstractNumId w:val="12"/>
  </w:num>
  <w:num w:numId="9">
    <w:abstractNumId w:val="3"/>
  </w:num>
  <w:num w:numId="10">
    <w:abstractNumId w:val="2"/>
  </w:num>
  <w:num w:numId="11">
    <w:abstractNumId w:val="8"/>
  </w:num>
  <w:num w:numId="12">
    <w:abstractNumId w:val="7"/>
  </w:num>
  <w:num w:numId="13">
    <w:abstractNumId w:val="0"/>
  </w:num>
  <w:num w:numId="14">
    <w:abstractNumId w:val="9"/>
  </w:num>
  <w:num w:numId="15">
    <w:abstractNumId w:val="5"/>
  </w:num>
  <w:num w:numId="16">
    <w:abstractNumId w:val="11"/>
  </w:num>
  <w:num w:numId="17">
    <w:abstractNumId w:val="16"/>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D0550"/>
    <w:rsid w:val="00025249"/>
    <w:rsid w:val="00030051"/>
    <w:rsid w:val="000537ED"/>
    <w:rsid w:val="00062E6A"/>
    <w:rsid w:val="00081DE3"/>
    <w:rsid w:val="0008292D"/>
    <w:rsid w:val="00093E01"/>
    <w:rsid w:val="00097C0D"/>
    <w:rsid w:val="000B3357"/>
    <w:rsid w:val="000B54CB"/>
    <w:rsid w:val="000E168F"/>
    <w:rsid w:val="000F4E90"/>
    <w:rsid w:val="000F5B83"/>
    <w:rsid w:val="001324E7"/>
    <w:rsid w:val="0013658B"/>
    <w:rsid w:val="00161502"/>
    <w:rsid w:val="00163429"/>
    <w:rsid w:val="001D3D0F"/>
    <w:rsid w:val="001D7B64"/>
    <w:rsid w:val="001E536A"/>
    <w:rsid w:val="001F3D2F"/>
    <w:rsid w:val="002170F4"/>
    <w:rsid w:val="0022104E"/>
    <w:rsid w:val="002D3634"/>
    <w:rsid w:val="00305046"/>
    <w:rsid w:val="00343FA5"/>
    <w:rsid w:val="003603BB"/>
    <w:rsid w:val="003C49F6"/>
    <w:rsid w:val="003C5695"/>
    <w:rsid w:val="00442BD3"/>
    <w:rsid w:val="00443EE0"/>
    <w:rsid w:val="004563D9"/>
    <w:rsid w:val="00491EB1"/>
    <w:rsid w:val="004C0D96"/>
    <w:rsid w:val="004D582F"/>
    <w:rsid w:val="00503438"/>
    <w:rsid w:val="0053704E"/>
    <w:rsid w:val="00564094"/>
    <w:rsid w:val="005938D7"/>
    <w:rsid w:val="005D12CD"/>
    <w:rsid w:val="005E3542"/>
    <w:rsid w:val="005F11D2"/>
    <w:rsid w:val="005F7562"/>
    <w:rsid w:val="00622C9F"/>
    <w:rsid w:val="006312BB"/>
    <w:rsid w:val="00634676"/>
    <w:rsid w:val="00644FC3"/>
    <w:rsid w:val="0065323C"/>
    <w:rsid w:val="0068476C"/>
    <w:rsid w:val="00696F82"/>
    <w:rsid w:val="006C431E"/>
    <w:rsid w:val="00700288"/>
    <w:rsid w:val="0070313D"/>
    <w:rsid w:val="00714782"/>
    <w:rsid w:val="00724F12"/>
    <w:rsid w:val="0073631E"/>
    <w:rsid w:val="00744FA4"/>
    <w:rsid w:val="007A6A71"/>
    <w:rsid w:val="007E0EEE"/>
    <w:rsid w:val="007E653A"/>
    <w:rsid w:val="00825961"/>
    <w:rsid w:val="008266E6"/>
    <w:rsid w:val="00833282"/>
    <w:rsid w:val="008A7F65"/>
    <w:rsid w:val="008B555C"/>
    <w:rsid w:val="008E16F4"/>
    <w:rsid w:val="00951F59"/>
    <w:rsid w:val="009736C8"/>
    <w:rsid w:val="00977F68"/>
    <w:rsid w:val="00980985"/>
    <w:rsid w:val="00981273"/>
    <w:rsid w:val="00994936"/>
    <w:rsid w:val="009D2350"/>
    <w:rsid w:val="00A36A32"/>
    <w:rsid w:val="00A70E5E"/>
    <w:rsid w:val="00AA6ADB"/>
    <w:rsid w:val="00AB2480"/>
    <w:rsid w:val="00AB56AD"/>
    <w:rsid w:val="00AC7D53"/>
    <w:rsid w:val="00AD424B"/>
    <w:rsid w:val="00AE5F1D"/>
    <w:rsid w:val="00B22D61"/>
    <w:rsid w:val="00B408F3"/>
    <w:rsid w:val="00B43C48"/>
    <w:rsid w:val="00B8010F"/>
    <w:rsid w:val="00BB722F"/>
    <w:rsid w:val="00C005BA"/>
    <w:rsid w:val="00C228D5"/>
    <w:rsid w:val="00C35867"/>
    <w:rsid w:val="00C43D41"/>
    <w:rsid w:val="00C46C24"/>
    <w:rsid w:val="00C75175"/>
    <w:rsid w:val="00C8233A"/>
    <w:rsid w:val="00C9320A"/>
    <w:rsid w:val="00CC6CDD"/>
    <w:rsid w:val="00CC7610"/>
    <w:rsid w:val="00CD0550"/>
    <w:rsid w:val="00CE11C1"/>
    <w:rsid w:val="00CE583E"/>
    <w:rsid w:val="00CF49B9"/>
    <w:rsid w:val="00D1003C"/>
    <w:rsid w:val="00D344A8"/>
    <w:rsid w:val="00D43777"/>
    <w:rsid w:val="00D55E96"/>
    <w:rsid w:val="00D60CB1"/>
    <w:rsid w:val="00D82509"/>
    <w:rsid w:val="00D93658"/>
    <w:rsid w:val="00DA5D41"/>
    <w:rsid w:val="00DB2C8A"/>
    <w:rsid w:val="00DD011B"/>
    <w:rsid w:val="00DD3B67"/>
    <w:rsid w:val="00DD6C80"/>
    <w:rsid w:val="00DE0026"/>
    <w:rsid w:val="00E15554"/>
    <w:rsid w:val="00E25D66"/>
    <w:rsid w:val="00E3113B"/>
    <w:rsid w:val="00E5006F"/>
    <w:rsid w:val="00EF01EF"/>
    <w:rsid w:val="00F067A8"/>
    <w:rsid w:val="00F10D12"/>
    <w:rsid w:val="00F22A18"/>
    <w:rsid w:val="00F3136C"/>
    <w:rsid w:val="00F47C62"/>
    <w:rsid w:val="00F54F5D"/>
    <w:rsid w:val="00FA6197"/>
    <w:rsid w:val="00FB3E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1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05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0550"/>
    <w:pPr>
      <w:ind w:left="720"/>
      <w:contextualSpacing/>
    </w:pPr>
  </w:style>
  <w:style w:type="paragraph" w:styleId="BalloonText">
    <w:name w:val="Balloon Text"/>
    <w:basedOn w:val="Normal"/>
    <w:link w:val="BalloonTextChar"/>
    <w:uiPriority w:val="99"/>
    <w:semiHidden/>
    <w:unhideWhenUsed/>
    <w:rsid w:val="004C0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D96"/>
    <w:rPr>
      <w:rFonts w:ascii="Tahoma" w:hAnsi="Tahoma" w:cs="Tahoma"/>
      <w:sz w:val="16"/>
      <w:szCs w:val="16"/>
    </w:rPr>
  </w:style>
  <w:style w:type="character" w:styleId="Hyperlink">
    <w:name w:val="Hyperlink"/>
    <w:basedOn w:val="DefaultParagraphFont"/>
    <w:uiPriority w:val="99"/>
    <w:unhideWhenUsed/>
    <w:rsid w:val="00062E6A"/>
    <w:rPr>
      <w:color w:val="0000FF" w:themeColor="hyperlink"/>
      <w:u w:val="single"/>
    </w:rPr>
  </w:style>
  <w:style w:type="character" w:styleId="Emphasis">
    <w:name w:val="Emphasis"/>
    <w:basedOn w:val="DefaultParagraphFont"/>
    <w:uiPriority w:val="20"/>
    <w:qFormat/>
    <w:rsid w:val="00C43D4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05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0550"/>
    <w:pPr>
      <w:ind w:left="720"/>
      <w:contextualSpacing/>
    </w:pPr>
  </w:style>
  <w:style w:type="paragraph" w:styleId="BalloonText">
    <w:name w:val="Balloon Text"/>
    <w:basedOn w:val="Normal"/>
    <w:link w:val="BalloonTextChar"/>
    <w:uiPriority w:val="99"/>
    <w:semiHidden/>
    <w:unhideWhenUsed/>
    <w:rsid w:val="004C0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D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9734951">
      <w:bodyDiv w:val="1"/>
      <w:marLeft w:val="0"/>
      <w:marRight w:val="0"/>
      <w:marTop w:val="0"/>
      <w:marBottom w:val="0"/>
      <w:divBdr>
        <w:top w:val="none" w:sz="0" w:space="0" w:color="auto"/>
        <w:left w:val="none" w:sz="0" w:space="0" w:color="auto"/>
        <w:bottom w:val="none" w:sz="0" w:space="0" w:color="auto"/>
        <w:right w:val="none" w:sz="0" w:space="0" w:color="auto"/>
      </w:divBdr>
    </w:div>
    <w:div w:id="108646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greenfingers.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CFGS</Company>
  <LinksUpToDate>false</LinksUpToDate>
  <CharactersWithSpaces>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Holland</dc:creator>
  <cp:keywords/>
  <dc:description/>
  <cp:lastModifiedBy> </cp:lastModifiedBy>
  <cp:revision>2</cp:revision>
  <cp:lastPrinted>2013-07-03T15:46:00Z</cp:lastPrinted>
  <dcterms:created xsi:type="dcterms:W3CDTF">2014-06-17T18:28:00Z</dcterms:created>
  <dcterms:modified xsi:type="dcterms:W3CDTF">2014-06-17T18:28:00Z</dcterms:modified>
</cp:coreProperties>
</file>